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23" w:tblpY="108"/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619"/>
        <w:gridCol w:w="1369"/>
        <w:gridCol w:w="2127"/>
      </w:tblGrid>
      <w:tr w:rsidR="001A74CB" w:rsidRPr="00924323" w:rsidTr="003D711B">
        <w:trPr>
          <w:trHeight w:val="651"/>
        </w:trPr>
        <w:tc>
          <w:tcPr>
            <w:tcW w:w="567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Ед. изм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9" w:type="dxa"/>
            <w:vAlign w:val="center"/>
          </w:tcPr>
          <w:p w:rsidR="001A74CB" w:rsidRPr="001A74CB" w:rsidRDefault="001A74CB" w:rsidP="003D711B">
            <w:pPr>
              <w:ind w:firstLineChars="21" w:firstLine="5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 </w:t>
            </w:r>
            <w:r w:rsidRPr="001A74CB">
              <w:rPr>
                <w:rFonts w:ascii="Times New Roman" w:hAnsi="Times New Roman"/>
                <w:sz w:val="28"/>
                <w:szCs w:val="28"/>
                <w:lang w:val="en-US"/>
              </w:rPr>
              <w:t>ОДМ 218.5-002-2008</w:t>
            </w:r>
          </w:p>
        </w:tc>
        <w:tc>
          <w:tcPr>
            <w:tcW w:w="1369" w:type="dxa"/>
            <w:vAlign w:val="center"/>
          </w:tcPr>
          <w:p w:rsidR="001A74CB" w:rsidRPr="00F37ECD" w:rsidRDefault="001A74CB" w:rsidP="0009786A">
            <w:pPr>
              <w:ind w:firstLineChars="21" w:firstLine="5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Апролат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-30</w:t>
            </w:r>
          </w:p>
        </w:tc>
        <w:tc>
          <w:tcPr>
            <w:tcW w:w="2127" w:type="dxa"/>
            <w:vAlign w:val="center"/>
          </w:tcPr>
          <w:p w:rsidR="001A74CB" w:rsidRDefault="001A74CB" w:rsidP="0009786A">
            <w:pPr>
              <w:ind w:firstLineChars="12"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Fornit</w:t>
            </w:r>
            <w:proofErr w:type="spellEnd"/>
            <w:r w:rsidRPr="005820AA">
              <w:rPr>
                <w:rFonts w:ascii="Times New Roman" w:hAnsi="Times New Roman"/>
                <w:sz w:val="28"/>
                <w:szCs w:val="28"/>
              </w:rPr>
              <w:t xml:space="preserve"> 30/30</w:t>
            </w:r>
          </w:p>
          <w:p w:rsidR="001A74CB" w:rsidRPr="005820AA" w:rsidRDefault="001A74CB" w:rsidP="0009786A">
            <w:pPr>
              <w:ind w:firstLineChars="12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0A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/>
                <w:sz w:val="28"/>
                <w:szCs w:val="28"/>
              </w:rPr>
              <w:t>30/30-40</w:t>
            </w:r>
            <w:r w:rsidRPr="00582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5820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74CB" w:rsidRPr="00924323" w:rsidTr="003D711B">
        <w:trPr>
          <w:trHeight w:val="409"/>
        </w:trPr>
        <w:tc>
          <w:tcPr>
            <w:tcW w:w="567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Размер ячеек</w:t>
            </w:r>
          </w:p>
        </w:tc>
        <w:tc>
          <w:tcPr>
            <w:tcW w:w="1276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619" w:type="dxa"/>
            <w:vAlign w:val="center"/>
          </w:tcPr>
          <w:p w:rsidR="001A74CB" w:rsidRDefault="003D711B" w:rsidP="003D711B">
            <w:pPr>
              <w:ind w:firstLineChars="42" w:firstLine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33-40</w:t>
            </w:r>
          </w:p>
        </w:tc>
        <w:tc>
          <w:tcPr>
            <w:tcW w:w="1369" w:type="dxa"/>
            <w:vAlign w:val="center"/>
          </w:tcPr>
          <w:p w:rsidR="001A74CB" w:rsidRPr="00924323" w:rsidRDefault="001A74CB" w:rsidP="0009786A">
            <w:pPr>
              <w:ind w:firstLineChars="42" w:firstLine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F37ECD"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 w:rsidRPr="00F37EC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1A74CB" w:rsidRPr="007D3D77" w:rsidRDefault="001A74CB" w:rsidP="0009786A">
            <w:pPr>
              <w:ind w:firstLineChars="7" w:firstLin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40х40</w:t>
            </w:r>
          </w:p>
        </w:tc>
      </w:tr>
      <w:tr w:rsidR="001A74CB" w:rsidRPr="00924323" w:rsidTr="003D711B">
        <w:trPr>
          <w:trHeight w:val="414"/>
        </w:trPr>
        <w:tc>
          <w:tcPr>
            <w:tcW w:w="567" w:type="dxa"/>
            <w:noWrap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noWrap/>
            <w:vAlign w:val="center"/>
          </w:tcPr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Поверхностная плотность</w:t>
            </w:r>
          </w:p>
        </w:tc>
        <w:tc>
          <w:tcPr>
            <w:tcW w:w="1276" w:type="dxa"/>
            <w:noWrap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г/м</w:t>
            </w:r>
            <w:proofErr w:type="gramStart"/>
            <w:r w:rsidRPr="0092432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19" w:type="dxa"/>
            <w:vAlign w:val="center"/>
          </w:tcPr>
          <w:p w:rsidR="001A74CB" w:rsidRP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369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CD">
              <w:rPr>
                <w:rFonts w:ascii="Times New Roman" w:hAnsi="Times New Roman"/>
                <w:sz w:val="28"/>
                <w:szCs w:val="28"/>
                <w:lang w:val="en-US"/>
              </w:rPr>
              <w:t>380±38</w:t>
            </w:r>
          </w:p>
        </w:tc>
        <w:tc>
          <w:tcPr>
            <w:tcW w:w="2127" w:type="dxa"/>
            <w:noWrap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  <w:lang w:val="en-US"/>
              </w:rPr>
              <w:t>270</w:t>
            </w:r>
          </w:p>
        </w:tc>
      </w:tr>
      <w:tr w:rsidR="001A74CB" w:rsidRPr="00924323" w:rsidTr="003D711B">
        <w:trPr>
          <w:trHeight w:val="1118"/>
        </w:trPr>
        <w:tc>
          <w:tcPr>
            <w:tcW w:w="567" w:type="dxa"/>
            <w:noWrap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Разрывная нагрузка, не менее:</w:t>
            </w:r>
          </w:p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вдоль</w:t>
            </w:r>
          </w:p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- по</w:t>
            </w:r>
            <w:r>
              <w:rPr>
                <w:rFonts w:ascii="Times New Roman" w:hAnsi="Times New Roman"/>
                <w:sz w:val="28"/>
                <w:szCs w:val="28"/>
              </w:rPr>
              <w:t>перек</w:t>
            </w:r>
          </w:p>
        </w:tc>
        <w:tc>
          <w:tcPr>
            <w:tcW w:w="1276" w:type="dxa"/>
            <w:vAlign w:val="center"/>
          </w:tcPr>
          <w:p w:rsidR="001A74CB" w:rsidRPr="001A74CB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кН/м</w:t>
            </w: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кН/м</w:t>
            </w:r>
          </w:p>
        </w:tc>
        <w:tc>
          <w:tcPr>
            <w:tcW w:w="1619" w:type="dxa"/>
            <w:vAlign w:val="center"/>
          </w:tcPr>
          <w:p w:rsidR="001A74CB" w:rsidRDefault="001A74C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D711B" w:rsidRPr="00924323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9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7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A74CB" w:rsidRPr="00924323" w:rsidTr="003D711B">
        <w:trPr>
          <w:trHeight w:val="434"/>
        </w:trPr>
        <w:tc>
          <w:tcPr>
            <w:tcW w:w="567" w:type="dxa"/>
            <w:noWrap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1A74CB" w:rsidRPr="00F37ECD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F37ECD">
              <w:rPr>
                <w:rFonts w:ascii="Times New Roman" w:hAnsi="Times New Roman"/>
                <w:sz w:val="28"/>
                <w:szCs w:val="28"/>
              </w:rPr>
              <w:t xml:space="preserve">Нагрузка на растяжение при </w:t>
            </w:r>
            <w:proofErr w:type="gramStart"/>
            <w:r w:rsidRPr="00F37ECD">
              <w:rPr>
                <w:rFonts w:ascii="Times New Roman" w:hAnsi="Times New Roman"/>
                <w:sz w:val="28"/>
                <w:szCs w:val="28"/>
              </w:rPr>
              <w:t>относительном</w:t>
            </w:r>
            <w:proofErr w:type="gramEnd"/>
          </w:p>
          <w:p w:rsidR="001A74CB" w:rsidRPr="00F37ECD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7ECD">
              <w:rPr>
                <w:rFonts w:ascii="Times New Roman" w:hAnsi="Times New Roman"/>
                <w:sz w:val="28"/>
                <w:szCs w:val="28"/>
              </w:rPr>
              <w:t>удлинении</w:t>
            </w:r>
            <w:proofErr w:type="gramEnd"/>
            <w:r w:rsidRPr="00F37ECD">
              <w:rPr>
                <w:rFonts w:ascii="Times New Roman" w:hAnsi="Times New Roman"/>
                <w:sz w:val="28"/>
                <w:szCs w:val="28"/>
              </w:rPr>
              <w:t xml:space="preserve"> 2 %,</w:t>
            </w:r>
          </w:p>
          <w:p w:rsidR="001A74CB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F37ECD">
              <w:rPr>
                <w:rFonts w:ascii="Times New Roman" w:hAnsi="Times New Roman"/>
                <w:sz w:val="28"/>
                <w:szCs w:val="28"/>
              </w:rPr>
              <w:t xml:space="preserve">кН/м, не менее: </w:t>
            </w:r>
          </w:p>
          <w:p w:rsidR="001A74CB" w:rsidRPr="00F37ECD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F37ECD">
              <w:rPr>
                <w:rFonts w:ascii="Times New Roman" w:hAnsi="Times New Roman"/>
                <w:sz w:val="28"/>
                <w:szCs w:val="28"/>
              </w:rPr>
              <w:t>- вдоль</w:t>
            </w:r>
          </w:p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F37ECD">
              <w:rPr>
                <w:rFonts w:ascii="Times New Roman" w:hAnsi="Times New Roman"/>
                <w:sz w:val="28"/>
                <w:szCs w:val="28"/>
              </w:rPr>
              <w:t>- поперек</w:t>
            </w:r>
          </w:p>
        </w:tc>
        <w:tc>
          <w:tcPr>
            <w:tcW w:w="1276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кН/м</w:t>
            </w: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кН/м</w:t>
            </w:r>
          </w:p>
        </w:tc>
        <w:tc>
          <w:tcPr>
            <w:tcW w:w="1619" w:type="dxa"/>
            <w:vAlign w:val="center"/>
          </w:tcPr>
          <w:p w:rsidR="001A74CB" w:rsidRDefault="001A74C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  <w:p w:rsidR="003D711B" w:rsidRPr="00924323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369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F37ECD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1A74CB" w:rsidRPr="00F37ECD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A74CB" w:rsidRPr="00924323" w:rsidTr="003D711B">
        <w:trPr>
          <w:trHeight w:val="434"/>
        </w:trPr>
        <w:tc>
          <w:tcPr>
            <w:tcW w:w="567" w:type="dxa"/>
            <w:noWrap/>
            <w:vAlign w:val="center"/>
          </w:tcPr>
          <w:p w:rsidR="001A74CB" w:rsidRPr="005820AA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  <w:vAlign w:val="center"/>
          </w:tcPr>
          <w:p w:rsidR="001A74CB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 xml:space="preserve">Нагрузка при </w:t>
            </w:r>
            <w:r w:rsidRPr="005820AA">
              <w:rPr>
                <w:rFonts w:ascii="Times New Roman" w:hAnsi="Times New Roman"/>
                <w:sz w:val="28"/>
                <w:szCs w:val="28"/>
              </w:rPr>
              <w:t>5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%удлин</w:t>
            </w:r>
            <w:r>
              <w:rPr>
                <w:rFonts w:ascii="Times New Roman" w:hAnsi="Times New Roman"/>
                <w:sz w:val="28"/>
                <w:szCs w:val="28"/>
              </w:rPr>
              <w:t>ении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, не менее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A74CB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вдоль</w:t>
            </w:r>
          </w:p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поперек</w:t>
            </w:r>
          </w:p>
        </w:tc>
        <w:tc>
          <w:tcPr>
            <w:tcW w:w="1276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кН/м</w:t>
            </w: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кН/м</w:t>
            </w:r>
          </w:p>
        </w:tc>
        <w:tc>
          <w:tcPr>
            <w:tcW w:w="1619" w:type="dxa"/>
            <w:vAlign w:val="center"/>
          </w:tcPr>
          <w:p w:rsidR="001A74CB" w:rsidRDefault="001A74C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  <w:p w:rsidR="003D711B" w:rsidRPr="00924323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369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F37ECD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A74CB" w:rsidRPr="00F37ECD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F37ECD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A74CB" w:rsidRPr="00F37ECD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74CB" w:rsidRPr="00924323" w:rsidTr="003D711B">
        <w:trPr>
          <w:trHeight w:val="434"/>
        </w:trPr>
        <w:tc>
          <w:tcPr>
            <w:tcW w:w="567" w:type="dxa"/>
            <w:noWrap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1A74CB" w:rsidRPr="00F37ECD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F37ECD">
              <w:rPr>
                <w:rFonts w:ascii="Times New Roman" w:hAnsi="Times New Roman"/>
                <w:sz w:val="28"/>
                <w:szCs w:val="28"/>
              </w:rPr>
              <w:t xml:space="preserve">Относительное удлинение при </w:t>
            </w:r>
            <w:proofErr w:type="gramStart"/>
            <w:r w:rsidRPr="00F37ECD">
              <w:rPr>
                <w:rFonts w:ascii="Times New Roman" w:hAnsi="Times New Roman"/>
                <w:sz w:val="28"/>
                <w:szCs w:val="28"/>
              </w:rPr>
              <w:t>максимальной</w:t>
            </w:r>
            <w:proofErr w:type="gramEnd"/>
          </w:p>
          <w:p w:rsidR="001A74CB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F37ECD">
              <w:rPr>
                <w:rFonts w:ascii="Times New Roman" w:hAnsi="Times New Roman"/>
                <w:sz w:val="28"/>
                <w:szCs w:val="28"/>
              </w:rPr>
              <w:t>нагрузке, %</w:t>
            </w:r>
            <w:proofErr w:type="gramStart"/>
            <w:r w:rsidRPr="00F37EC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37ECD">
              <w:rPr>
                <w:rFonts w:ascii="Times New Roman" w:hAnsi="Times New Roman"/>
                <w:sz w:val="28"/>
                <w:szCs w:val="28"/>
              </w:rPr>
              <w:t xml:space="preserve"> не более:</w:t>
            </w:r>
          </w:p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вдоль</w:t>
            </w:r>
          </w:p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поперек</w:t>
            </w:r>
          </w:p>
        </w:tc>
        <w:tc>
          <w:tcPr>
            <w:tcW w:w="1276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19" w:type="dxa"/>
            <w:vAlign w:val="center"/>
          </w:tcPr>
          <w:p w:rsid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1A74CB" w:rsidRPr="00924323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69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7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243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A74CB" w:rsidRPr="00924323" w:rsidTr="003D711B">
        <w:trPr>
          <w:trHeight w:val="434"/>
        </w:trPr>
        <w:tc>
          <w:tcPr>
            <w:tcW w:w="567" w:type="dxa"/>
            <w:noWrap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Ширина рулона</w:t>
            </w:r>
          </w:p>
        </w:tc>
        <w:tc>
          <w:tcPr>
            <w:tcW w:w="1276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619" w:type="dxa"/>
            <w:vAlign w:val="center"/>
          </w:tcPr>
          <w:p w:rsidR="001A74C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369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A74CB" w:rsidRPr="00924323" w:rsidTr="003D711B">
        <w:trPr>
          <w:trHeight w:val="434"/>
        </w:trPr>
        <w:tc>
          <w:tcPr>
            <w:tcW w:w="567" w:type="dxa"/>
            <w:noWrap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рулона</w:t>
            </w:r>
          </w:p>
        </w:tc>
        <w:tc>
          <w:tcPr>
            <w:tcW w:w="1276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619" w:type="dxa"/>
            <w:vAlign w:val="center"/>
          </w:tcPr>
          <w:p w:rsidR="001A74CB" w:rsidRPr="003D711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bookmarkStart w:id="0" w:name="_GoBack"/>
            <w:bookmarkEnd w:id="0"/>
          </w:p>
        </w:tc>
        <w:tc>
          <w:tcPr>
            <w:tcW w:w="1369" w:type="dxa"/>
            <w:vAlign w:val="center"/>
          </w:tcPr>
          <w:p w:rsidR="001A74CB" w:rsidRPr="00F37ECD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127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1A74CB" w:rsidRPr="00924323" w:rsidTr="003D711B">
        <w:trPr>
          <w:trHeight w:val="434"/>
        </w:trPr>
        <w:tc>
          <w:tcPr>
            <w:tcW w:w="567" w:type="dxa"/>
            <w:noWrap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gridSpan w:val="2"/>
            <w:vAlign w:val="center"/>
          </w:tcPr>
          <w:p w:rsidR="001A74CB" w:rsidRPr="00924323" w:rsidRDefault="001A74CB" w:rsidP="0009786A">
            <w:pPr>
              <w:rPr>
                <w:rFonts w:ascii="Times New Roman" w:hAnsi="Times New Roman"/>
                <w:sz w:val="28"/>
                <w:szCs w:val="28"/>
              </w:rPr>
            </w:pPr>
            <w:r w:rsidRPr="00924323">
              <w:rPr>
                <w:rFonts w:ascii="Times New Roman" w:hAnsi="Times New Roman"/>
                <w:sz w:val="28"/>
                <w:szCs w:val="28"/>
              </w:rPr>
              <w:t>Состав сырья</w:t>
            </w:r>
          </w:p>
        </w:tc>
        <w:tc>
          <w:tcPr>
            <w:tcW w:w="1619" w:type="dxa"/>
            <w:vAlign w:val="center"/>
          </w:tcPr>
          <w:p w:rsidR="001A74CB" w:rsidRDefault="003D711B" w:rsidP="003D711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1369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2127" w:type="dxa"/>
            <w:vAlign w:val="center"/>
          </w:tcPr>
          <w:p w:rsidR="001A74CB" w:rsidRPr="00924323" w:rsidRDefault="001A74CB" w:rsidP="000978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323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</w:tc>
      </w:tr>
    </w:tbl>
    <w:p w:rsidR="001A74CB" w:rsidRDefault="001A74CB" w:rsidP="001A74CB">
      <w:pPr>
        <w:rPr>
          <w:rFonts w:ascii="Times New Roman" w:hAnsi="Times New Roman"/>
          <w:sz w:val="28"/>
          <w:szCs w:val="28"/>
        </w:rPr>
      </w:pPr>
    </w:p>
    <w:p w:rsidR="001A74CB" w:rsidRDefault="001A74CB" w:rsidP="001A74CB">
      <w:pPr>
        <w:rPr>
          <w:rFonts w:ascii="Times New Roman" w:hAnsi="Times New Roman"/>
          <w:sz w:val="28"/>
          <w:szCs w:val="28"/>
        </w:rPr>
      </w:pPr>
    </w:p>
    <w:p w:rsidR="001A74CB" w:rsidRPr="00580B9C" w:rsidRDefault="001A74CB" w:rsidP="001A74CB">
      <w:pPr>
        <w:rPr>
          <w:rFonts w:ascii="Times New Roman" w:hAnsi="Times New Roman"/>
          <w:sz w:val="28"/>
          <w:szCs w:val="28"/>
        </w:rPr>
      </w:pPr>
      <w:proofErr w:type="spellStart"/>
      <w:r w:rsidRPr="00580B9C">
        <w:rPr>
          <w:rFonts w:ascii="Times New Roman" w:hAnsi="Times New Roman"/>
          <w:sz w:val="28"/>
          <w:szCs w:val="28"/>
        </w:rPr>
        <w:t>Fornit</w:t>
      </w:r>
      <w:proofErr w:type="spellEnd"/>
      <w:r w:rsidRPr="00580B9C">
        <w:rPr>
          <w:rFonts w:ascii="Times New Roman" w:hAnsi="Times New Roman"/>
          <w:sz w:val="28"/>
          <w:szCs w:val="28"/>
        </w:rPr>
        <w:t>® (</w:t>
      </w:r>
      <w:proofErr w:type="spellStart"/>
      <w:r w:rsidRPr="00580B9C">
        <w:rPr>
          <w:rFonts w:ascii="Times New Roman" w:hAnsi="Times New Roman"/>
          <w:sz w:val="28"/>
          <w:szCs w:val="28"/>
        </w:rPr>
        <w:t>форнит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) — </w:t>
      </w:r>
      <w:proofErr w:type="gramStart"/>
      <w:r w:rsidRPr="00580B9C">
        <w:rPr>
          <w:rFonts w:ascii="Times New Roman" w:hAnsi="Times New Roman"/>
          <w:sz w:val="28"/>
          <w:szCs w:val="28"/>
        </w:rPr>
        <w:t>высокопрочная</w:t>
      </w:r>
      <w:proofErr w:type="gramEnd"/>
      <w:r w:rsidRPr="00580B9C">
        <w:rPr>
          <w:rFonts w:ascii="Times New Roman" w:hAnsi="Times New Roman"/>
          <w:sz w:val="28"/>
          <w:szCs w:val="28"/>
        </w:rPr>
        <w:t xml:space="preserve"> двухосная </w:t>
      </w:r>
      <w:proofErr w:type="spellStart"/>
      <w:r w:rsidRPr="00580B9C">
        <w:rPr>
          <w:rFonts w:ascii="Times New Roman" w:hAnsi="Times New Roman"/>
          <w:sz w:val="28"/>
          <w:szCs w:val="28"/>
        </w:rPr>
        <w:t>георешётка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из полипропилена для армирования грунтов. </w:t>
      </w:r>
      <w:proofErr w:type="gramStart"/>
      <w:r w:rsidRPr="00580B9C">
        <w:rPr>
          <w:rFonts w:ascii="Times New Roman" w:hAnsi="Times New Roman"/>
          <w:sz w:val="28"/>
          <w:szCs w:val="28"/>
        </w:rPr>
        <w:t>Стандартные</w:t>
      </w:r>
      <w:proofErr w:type="gramEnd"/>
      <w:r w:rsidRPr="00580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B9C">
        <w:rPr>
          <w:rFonts w:ascii="Times New Roman" w:hAnsi="Times New Roman"/>
          <w:sz w:val="28"/>
          <w:szCs w:val="28"/>
        </w:rPr>
        <w:t>георешётки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выпускаются с ячейками различного размера, за счёт чего обеспечивается высокое сцепление между несущим слоем и основанием.  Материал перераспределяет внешние нагрузки (например, точечные) на поверхность большей площади. А за счёт ячеек </w:t>
      </w:r>
      <w:proofErr w:type="spellStart"/>
      <w:r w:rsidRPr="00580B9C">
        <w:rPr>
          <w:rFonts w:ascii="Times New Roman" w:hAnsi="Times New Roman"/>
          <w:sz w:val="28"/>
          <w:szCs w:val="28"/>
        </w:rPr>
        <w:t>георешётки</w:t>
      </w:r>
      <w:proofErr w:type="spellEnd"/>
      <w:r w:rsidRPr="00580B9C">
        <w:rPr>
          <w:rFonts w:ascii="Times New Roman" w:hAnsi="Times New Roman"/>
          <w:sz w:val="28"/>
          <w:szCs w:val="28"/>
        </w:rPr>
        <w:t>, ограничивается горизонтальное перемещение частиц грунта. Всё это ведёт к увеличению несущей способности грунта. Полимерное покрытие решётки защищает её от механических повреждений и ультрафиолетового излучения, обеспечивая прочность и длительность использования. Применяется при армировании грунтов.</w:t>
      </w:r>
    </w:p>
    <w:p w:rsidR="001A74CB" w:rsidRPr="00580B9C" w:rsidRDefault="003D711B" w:rsidP="001A74CB">
      <w:pPr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1A74CB" w:rsidRPr="004F09C5">
          <w:rPr>
            <w:rStyle w:val="a3"/>
            <w:rFonts w:ascii="Times New Roman" w:hAnsi="Times New Roman"/>
            <w:sz w:val="28"/>
            <w:szCs w:val="28"/>
          </w:rPr>
          <w:t>http://www.areangeo.ru/mat/8/georeshetki_fornit_.html</w:t>
        </w:r>
      </w:hyperlink>
    </w:p>
    <w:p w:rsidR="001A74CB" w:rsidRPr="001A74CB" w:rsidRDefault="001A74CB" w:rsidP="001A74CB">
      <w:pPr>
        <w:jc w:val="both"/>
        <w:rPr>
          <w:rFonts w:ascii="Times New Roman" w:hAnsi="Times New Roman"/>
          <w:sz w:val="28"/>
          <w:szCs w:val="28"/>
        </w:rPr>
      </w:pPr>
    </w:p>
    <w:p w:rsidR="001A74CB" w:rsidRPr="00580B9C" w:rsidRDefault="001A74CB" w:rsidP="001A74CB">
      <w:pPr>
        <w:jc w:val="both"/>
        <w:rPr>
          <w:rFonts w:ascii="Times New Roman" w:hAnsi="Times New Roman"/>
          <w:sz w:val="28"/>
          <w:szCs w:val="28"/>
        </w:rPr>
      </w:pPr>
      <w:r w:rsidRPr="001A74CB">
        <w:rPr>
          <w:rFonts w:ascii="Times New Roman" w:hAnsi="Times New Roman"/>
          <w:sz w:val="28"/>
          <w:szCs w:val="28"/>
        </w:rPr>
        <w:lastRenderedPageBreak/>
        <w:tab/>
      </w:r>
      <w:r w:rsidRPr="00580B9C">
        <w:rPr>
          <w:rFonts w:ascii="Times New Roman" w:hAnsi="Times New Roman"/>
          <w:sz w:val="28"/>
          <w:szCs w:val="28"/>
        </w:rPr>
        <w:t xml:space="preserve"> </w:t>
      </w:r>
      <w:r w:rsidRPr="00580B9C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580B9C">
        <w:rPr>
          <w:rFonts w:ascii="Times New Roman" w:hAnsi="Times New Roman"/>
          <w:sz w:val="28"/>
          <w:szCs w:val="28"/>
        </w:rPr>
        <w:t>Георешетка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«АПРОЛАТ СД 30» - </w:t>
      </w:r>
      <w:proofErr w:type="spellStart"/>
      <w:r w:rsidRPr="00580B9C">
        <w:rPr>
          <w:rFonts w:ascii="Times New Roman" w:hAnsi="Times New Roman"/>
          <w:sz w:val="28"/>
          <w:szCs w:val="28"/>
        </w:rPr>
        <w:t>геосинтетический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материал в виде плоской,  </w:t>
      </w:r>
      <w:proofErr w:type="spellStart"/>
      <w:r w:rsidRPr="00580B9C">
        <w:rPr>
          <w:rFonts w:ascii="Times New Roman" w:hAnsi="Times New Roman"/>
          <w:sz w:val="28"/>
          <w:szCs w:val="28"/>
        </w:rPr>
        <w:t>двуосноориентированной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B9C">
        <w:rPr>
          <w:rFonts w:ascii="Times New Roman" w:hAnsi="Times New Roman"/>
          <w:sz w:val="28"/>
          <w:szCs w:val="28"/>
        </w:rPr>
        <w:t>георешетки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с прямоугольной ячейкой, специально разработан для усиления несущих оснований, а также для строительства на слабых грунтах и для применения в конструкциях воспринимающих высокие динамические и статические нагрузки.</w:t>
      </w:r>
      <w:proofErr w:type="gramEnd"/>
    </w:p>
    <w:p w:rsidR="001A74CB" w:rsidRPr="00580B9C" w:rsidRDefault="001A74CB" w:rsidP="001A74C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0B9C">
        <w:rPr>
          <w:rFonts w:ascii="Times New Roman" w:hAnsi="Times New Roman"/>
          <w:sz w:val="28"/>
          <w:szCs w:val="28"/>
        </w:rPr>
        <w:t>Двуосноориентированные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B9C">
        <w:rPr>
          <w:rFonts w:ascii="Times New Roman" w:hAnsi="Times New Roman"/>
          <w:sz w:val="28"/>
          <w:szCs w:val="28"/>
        </w:rPr>
        <w:t>георешетки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обладают высокой прочностью на разрыв, как в продольном, так и в поперечном направлении.</w:t>
      </w:r>
    </w:p>
    <w:p w:rsidR="001A74CB" w:rsidRPr="00580B9C" w:rsidRDefault="001A74CB" w:rsidP="001A74CB">
      <w:pPr>
        <w:jc w:val="both"/>
        <w:rPr>
          <w:rFonts w:ascii="Times New Roman" w:hAnsi="Times New Roman"/>
          <w:sz w:val="28"/>
          <w:szCs w:val="28"/>
        </w:rPr>
      </w:pPr>
      <w:r w:rsidRPr="00580B9C">
        <w:rPr>
          <w:rFonts w:ascii="Times New Roman" w:hAnsi="Times New Roman"/>
          <w:sz w:val="28"/>
          <w:szCs w:val="28"/>
        </w:rPr>
        <w:t xml:space="preserve">При армировании, </w:t>
      </w:r>
      <w:proofErr w:type="spellStart"/>
      <w:r w:rsidRPr="00580B9C">
        <w:rPr>
          <w:rFonts w:ascii="Times New Roman" w:hAnsi="Times New Roman"/>
          <w:sz w:val="28"/>
          <w:szCs w:val="28"/>
        </w:rPr>
        <w:t>георешетку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«АПРОЛАТ СД» располагают на поверхности песчаного дополнительного слоя основания (на поверхности земляного полотна при его отсутствии) под слоем несущего основания из </w:t>
      </w:r>
      <w:proofErr w:type="spellStart"/>
      <w:r w:rsidRPr="00580B9C">
        <w:rPr>
          <w:rFonts w:ascii="Times New Roman" w:hAnsi="Times New Roman"/>
          <w:sz w:val="28"/>
          <w:szCs w:val="28"/>
        </w:rPr>
        <w:t>крупнофракционного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 материала. В этом случае решаются задачи:</w:t>
      </w:r>
    </w:p>
    <w:p w:rsidR="001A74CB" w:rsidRPr="00580B9C" w:rsidRDefault="001A74CB" w:rsidP="001A74CB">
      <w:pPr>
        <w:jc w:val="both"/>
        <w:rPr>
          <w:rFonts w:ascii="Times New Roman" w:hAnsi="Times New Roman"/>
          <w:sz w:val="28"/>
          <w:szCs w:val="28"/>
        </w:rPr>
      </w:pPr>
      <w:r w:rsidRPr="00580B9C">
        <w:rPr>
          <w:rFonts w:ascii="Times New Roman" w:hAnsi="Times New Roman"/>
          <w:sz w:val="28"/>
          <w:szCs w:val="28"/>
        </w:rPr>
        <w:t>- сокращение толщины несущего слоя основания или увеличения сроков службы покрытия за счет повышения прочности слоя основания;</w:t>
      </w:r>
    </w:p>
    <w:p w:rsidR="001A74CB" w:rsidRPr="00580B9C" w:rsidRDefault="001A74CB" w:rsidP="001A74CB">
      <w:pPr>
        <w:jc w:val="both"/>
        <w:rPr>
          <w:rFonts w:ascii="Times New Roman" w:hAnsi="Times New Roman"/>
          <w:sz w:val="28"/>
          <w:szCs w:val="28"/>
        </w:rPr>
      </w:pPr>
      <w:r w:rsidRPr="00580B9C">
        <w:rPr>
          <w:rFonts w:ascii="Times New Roman" w:hAnsi="Times New Roman"/>
          <w:sz w:val="28"/>
          <w:szCs w:val="28"/>
        </w:rPr>
        <w:t>- улучшение условий формирования слоя основания за счет создания на контакте защитного слоя, препятствующего перемешиванию материалов несущего слоя основания и дополнительного слоя основания;</w:t>
      </w:r>
    </w:p>
    <w:p w:rsidR="001A74CB" w:rsidRPr="00580B9C" w:rsidRDefault="001A74CB" w:rsidP="001A74CB">
      <w:pPr>
        <w:jc w:val="both"/>
        <w:rPr>
          <w:rFonts w:ascii="Times New Roman" w:hAnsi="Times New Roman"/>
          <w:sz w:val="28"/>
          <w:szCs w:val="28"/>
        </w:rPr>
      </w:pPr>
      <w:r w:rsidRPr="00580B9C">
        <w:rPr>
          <w:rFonts w:ascii="Times New Roman" w:hAnsi="Times New Roman"/>
          <w:sz w:val="28"/>
          <w:szCs w:val="28"/>
        </w:rPr>
        <w:t xml:space="preserve">- улучшение «работы» дорожной конструкции под действием динамических нагрузок за счет обеспечения совместной работы отдельных частиц </w:t>
      </w:r>
      <w:proofErr w:type="spellStart"/>
      <w:r w:rsidRPr="00580B9C">
        <w:rPr>
          <w:rFonts w:ascii="Times New Roman" w:hAnsi="Times New Roman"/>
          <w:sz w:val="28"/>
          <w:szCs w:val="28"/>
        </w:rPr>
        <w:t>крупнофракционных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материалов, объединенных в результате  расположения в ячейках </w:t>
      </w:r>
      <w:proofErr w:type="spellStart"/>
      <w:r w:rsidRPr="00580B9C">
        <w:rPr>
          <w:rFonts w:ascii="Times New Roman" w:hAnsi="Times New Roman"/>
          <w:sz w:val="28"/>
          <w:szCs w:val="28"/>
        </w:rPr>
        <w:t>георешетки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(«блокировка» </w:t>
      </w:r>
      <w:proofErr w:type="spellStart"/>
      <w:r w:rsidRPr="00580B9C">
        <w:rPr>
          <w:rFonts w:ascii="Times New Roman" w:hAnsi="Times New Roman"/>
          <w:sz w:val="28"/>
          <w:szCs w:val="28"/>
        </w:rPr>
        <w:t>крупнофракционного</w:t>
      </w:r>
      <w:proofErr w:type="spellEnd"/>
      <w:r w:rsidRPr="00580B9C">
        <w:rPr>
          <w:rFonts w:ascii="Times New Roman" w:hAnsi="Times New Roman"/>
          <w:sz w:val="28"/>
          <w:szCs w:val="28"/>
        </w:rPr>
        <w:t xml:space="preserve"> материала в ячейках </w:t>
      </w:r>
      <w:proofErr w:type="spellStart"/>
      <w:r w:rsidRPr="00580B9C">
        <w:rPr>
          <w:rFonts w:ascii="Times New Roman" w:hAnsi="Times New Roman"/>
          <w:sz w:val="28"/>
          <w:szCs w:val="28"/>
        </w:rPr>
        <w:t>георешетки</w:t>
      </w:r>
      <w:proofErr w:type="spellEnd"/>
      <w:r w:rsidRPr="00580B9C">
        <w:rPr>
          <w:rFonts w:ascii="Times New Roman" w:hAnsi="Times New Roman"/>
          <w:sz w:val="28"/>
          <w:szCs w:val="28"/>
        </w:rPr>
        <w:t>).</w:t>
      </w:r>
    </w:p>
    <w:p w:rsidR="005326A4" w:rsidRDefault="005326A4"/>
    <w:sectPr w:rsidR="0053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CB"/>
    <w:rsid w:val="001A74CB"/>
    <w:rsid w:val="003D711B"/>
    <w:rsid w:val="005326A4"/>
    <w:rsid w:val="009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C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7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C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7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eangeo.ru/mat/8/georeshetki_fornit_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SOIR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Дарья Борисовна</dc:creator>
  <cp:keywords/>
  <dc:description/>
  <cp:lastModifiedBy>Володиков Алексей Леонидович</cp:lastModifiedBy>
  <cp:revision>3</cp:revision>
  <dcterms:created xsi:type="dcterms:W3CDTF">2014-07-24T13:40:00Z</dcterms:created>
  <dcterms:modified xsi:type="dcterms:W3CDTF">2014-07-25T05:19:00Z</dcterms:modified>
</cp:coreProperties>
</file>